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art. 30 RVO, Gemeentebelangen, Gemeentelijke zwembaden en zwemlessen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47,38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Gemeentebelangen-Gemeentelijke-zwembaden-en-zwemle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Voorbereidingskrediet Backxlaan,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Voorbereidingskrediet-Backxlaan/Voorbereidingskrediet-Backxlaan-Beantwoording-technische-vragen-GB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Detailhandelsstructuurvisie 2025 - 2030,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Detailhandelsstructuurvisie-2025-2030-1/Detailhandelsstructuurvisie-2025-2030-Beantwoording-technische-vragen-GB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Detailhandelsstructuurvisie 2025 - 2030,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Detailhandelsstructuurvisie-2025-2030-1/Detailhandelsstructuurvisie-2025-2030-Beantwoording-technische-vragen-CDA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3.2 - Beantwoording mondelinge vragen GB, Wonen op het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31-maart/19:30/Vragenronde-1/3-2-Beantwoording-mondelinge-vragen-GB-Wonen-op-het-platte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3.1 - Beantwoording mondelinge vragen CU,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31-maart/19:30/Vragenronde-1/3-1-Beantwoording-mondelinge-vragen-CU-Beschermd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729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