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vanuit commissie, 20211124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anuit-commissie-20211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ChristenUnie, Raadsmemo's Onderzoek winsten aanbieders jeugdzorg en doorontwikkeld inkoopmodel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Raadsmemo-s-Onderzoek-winsten-aanbieders-jeugdzorg-en-doorontwikkeld-inkoop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Gemeentebelangen en ChristenUnie, Beleidsplan Preventiebeleid, Dalfsen vitaal en veerkrachtig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en-ChristenUnie-Beleidsplan-Preventiebeleid-Dalfsen-vitaal-en-veerkrachti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ChristenUnie, 
              <text:s/>
              Actieprogramma sociaal maatschappelijke effecten corona,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Actieprogramma-sociaal-maatschappelijke-effecten-corona-Begrotingswijzig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Gemeentebelangen, Gemeentelijk Rioleringsplan 2022-2026,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Gemeentelijk-Rioleringsplan-2022-2026-202111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ChristenUnie, Gemeentelijk Rioleringsplan 2022-2026,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Gemeentelijk-Rioleringsplan-2022-2026-20211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ChristenUnie, Transitievisie warmte 1.0, 20211115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Transitievisie-warmte-1-0-202111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Gemeentebelangen, IBOR,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IBOR-202111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ChristenUnie, IBOR,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354,06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IBOR-202111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CDA, IBOR,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IBOR-202111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2" meta:character-count="1312" meta:non-whitespace-character-count="1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