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2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jaarrekening 2019, totaaldocument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jaarrekening-2019-totaaldocu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ChrU, Voorplein gemeentehuis, 20200525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Voorplein-gemeentehuis-202005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ChrU, Ontwerp VVGB Zorgappartementen Den Hulst 23, 20200525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Ontwerp-VVGB-Zorgappartementen-Den-Hulst-23-202005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aanvullende technische vragen, ChristenUnie, Noodfonds corona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aanvullende-technische-vragen-ChristenUnie-Noodfonds-coron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vragen, ChristenUnie, Doelmatigheidsonderzoek re-integratie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Doelmatigheidsonderzoek-re-integr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vragen, CDA en ChristenUnie, Intrekken beleidsregels maatschappelijke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en-ChristenUnie-Intrekken-beleidsregels-maatschappelijke-duurzaamh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vragen, CDA, Doelmatigheidsonderzoek re-integratie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Doelmatigheidsonderzoek-re-integr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vragen, CDA, Noodfonds corona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Noodfonds-coron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vragen, ChristenUnie, Noodfonds corona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Noodfonds-coron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VVD en D66, Spreekrecht dhr. Corbeth, commissie 11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VVD-en-D66-Spreekrecht-dhr-Corbeth-commissie-11-mei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vragen, ChrU en CDA, Ontwerp VVGB off the grid recreatiehuisje Landschap Overijssel, 20200511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en-CDA-Ontwerp-VVGB-off-the-grid-recreatiehuisje-Landschap-Overijssel-202005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GB, CDA en ChrU, Herontwikkeling camping Bosvreugd, 20200511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CDA-en-ChrU-Herontwikkeling-camping-Bosvreugd-202005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CU en VVD, Concept bod RES, 20200511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U-en-VVD-Concept-bod-RES-202005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11" meta:character-count="1564" meta:non-whitespace-character-count="1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