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70" text:style-name="Internet_20_link" text:visited-style-name="Visited_20_Internet_20_Link">
              <text:span text:style-name="ListLabel_20_28">
                <text:span text:style-name="T8">1 Schriftelijke vragen art. 30 RVO, Gemeentebelangen, Gemeentelijke zwembaden en zwemlessen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70"/>
        Schriftelijke vragen art. 30 RVO, Gemeentebelangen, Gemeentelijke zwembaden en zwemlessen
        <text:bookmark-end text:name="437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06-05-2025 18:32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Gemeentebelangen-Gemeentelijke-zwembaden-en-zwemle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112,06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Gemeentebelangen-Gemeentelijke-zwembaden-en-zwemle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655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