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22" w:history="1">
        <w:r>
          <w:rPr>
            <w:rFonts w:ascii="Arial" w:hAnsi="Arial" w:eastAsia="Arial" w:cs="Arial"/>
            <w:color w:val="155CAA"/>
            <w:u w:val="single"/>
          </w:rPr>
          <w:t xml:space="preserve">1 Rapport armoedefonds - De impact van voortdurende armoede op hulporganisaties in Nederland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22"/>
      <w:r w:rsidRPr="00A448AC">
        <w:rPr>
          <w:rFonts w:ascii="Arial" w:hAnsi="Arial" w:cs="Arial"/>
          <w:b/>
          <w:bCs/>
          <w:color w:val="303F4C"/>
          <w:lang w:val="en-US"/>
        </w:rPr>
        <w:t>Rapport armoedefonds - De impact van voortdurende armoede op hulporganisaties in Nederland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Armoedefonds, De impact van voortdurende armoede op hulporganisaties in Nederland, 20240104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Armoedefonds-De-impact-van-voortdurende-armoede-op-hulporganisaties-in-Nederland-202401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