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8" w:history="1">
        <w:r>
          <w:rPr>
            <w:rFonts w:ascii="Arial" w:hAnsi="Arial" w:eastAsia="Arial" w:cs="Arial"/>
            <w:color w:val="155CAA"/>
            <w:u w:val="single"/>
          </w:rPr>
          <w:t xml:space="preserve">1 Raad 30 okt 2017 - Ingekomen stuk, Jeugdbescherming Overijssel, Positie en functioneren CR, nr 568896-217916, 20171017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8"/>
      <w:r w:rsidRPr="00A448AC">
        <w:rPr>
          <w:rFonts w:ascii="Arial" w:hAnsi="Arial" w:cs="Arial"/>
          <w:b/>
          <w:bCs/>
          <w:color w:val="303F4C"/>
          <w:lang w:val="en-US"/>
        </w:rPr>
        <w:t>Raad 30 okt 2017 - Ingekomen stuk, Jeugdbescherming Overijssel, Positie en functioneren CR, nr 568896-217916, 20171017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27-11-2017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okt 2017 - Ingekomen stuk, Jeugdbescherming Overijssel, Positie en functioneren CR, nr 568896-217916, 20171017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30-okt-2017-Ingekomen-stuk-Jeugdbescherming-Overijssel-Positie-en-functioneren-CR-nr-568896-217916-20171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