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53" w:history="1">
        <w:r>
          <w:rPr>
            <w:rFonts w:ascii="Arial" w:hAnsi="Arial" w:eastAsia="Arial" w:cs="Arial"/>
            <w:color w:val="155CAA"/>
            <w:u w:val="single"/>
          </w:rPr>
          <w:t xml:space="preserve">1 Raad 30 mei 2016 - Ingekomen stuk, Milieudefensie, TTIP en CETA, nr 2605-4211, 20160421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53"/>
      <w:r w:rsidRPr="00A448AC">
        <w:rPr>
          <w:rFonts w:ascii="Arial" w:hAnsi="Arial" w:cs="Arial"/>
          <w:b/>
          <w:bCs/>
          <w:color w:val="303F4C"/>
          <w:lang w:val="en-US"/>
        </w:rPr>
        <w:t>Raad 30 mei 2016 - Ingekomen stuk, Milieudefensie, TTIP en CETA, nr 2605-4211, 20160421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 11:55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mei 2016 - Ingekomen stuk, Milieudefensie, TTIP en CETA, nr 2605-4211, 20160421.pdf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30-mei-2016-Ingekomen-stuk-Milieudefensie-TTIP-en-CETA-nr-2605-4211-201604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