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17" w:history="1">
        <w:r>
          <w:rPr>
            <w:rFonts w:ascii="Arial" w:hAnsi="Arial" w:eastAsia="Arial" w:cs="Arial"/>
            <w:color w:val="155CAA"/>
            <w:u w:val="single"/>
          </w:rPr>
          <w:t xml:space="preserve">1 Raad 30 jan 2017 - Ingekomen stuk, FNV Zorg en Welzijn, WMO checklist, nr 492138-121999, 20170112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17"/>
      <w:r w:rsidRPr="00A448AC">
        <w:rPr>
          <w:rFonts w:ascii="Arial" w:hAnsi="Arial" w:cs="Arial"/>
          <w:b/>
          <w:bCs/>
          <w:color w:val="303F4C"/>
          <w:lang w:val="en-US"/>
        </w:rPr>
        <w:t>Raad 30 jan 2017 - Ingekomen stuk, FNV Zorg en Welzijn, WMO checklist, nr 492138-121999, 20170112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02-02-2017 15:35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30 jan 2017 - Ingekomen stuk, FNV Zorg en Welzijn, WMO checklist, nr 492138-121999, 20170112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30-jan-2017-Ingekomen-stuk-FNV-Zorg-en-Welzijn-WMO-checklist-nr-492138-121999-201701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