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364" w:history="1">
        <w:r>
          <w:rPr>
            <w:rFonts w:ascii="Arial" w:hAnsi="Arial" w:eastAsia="Arial" w:cs="Arial"/>
            <w:color w:val="155CAA"/>
            <w:u w:val="single"/>
          </w:rPr>
          <w:t xml:space="preserve">1 Raad 28 sep 2015 - Ingekomen stuk, Provincie Overijssel, Beleidskader ontheffing verboden handelingen, nr 28181-27980, 20150824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364"/>
      <w:r w:rsidRPr="00A448AC">
        <w:rPr>
          <w:rFonts w:ascii="Arial" w:hAnsi="Arial" w:cs="Arial"/>
          <w:b/>
          <w:bCs/>
          <w:color w:val="303F4C"/>
          <w:lang w:val="en-US"/>
        </w:rPr>
        <w:t>Raad 28 sep 2015 - Ingekomen stuk, Provincie Overijssel, Beleidskader ontheffing verboden handelingen, nr 28181-27980, 20150824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08-10-2015 11:47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28 sep 2015 - Ingekomen stuk, Provincie Overijssel, Beleidskader ontheffing verboden handelingen, nr 28181-27980, 20150824.pdf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8-sep-2015-Ingekomen-stuk-Provincie-Overijssel-Beleidskader-ontheffing-verboden-handelingen-nr-28181-27980-201508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