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45" w:history="1">
        <w:r>
          <w:rPr>
            <w:rFonts w:ascii="Arial" w:hAnsi="Arial" w:eastAsia="Arial" w:cs="Arial"/>
            <w:color w:val="155CAA"/>
            <w:u w:val="single"/>
          </w:rPr>
          <w:t xml:space="preserve">1 Raad 28 sep 2015 - Ingekomen stuk, GGD IJsselland, Bestuursagenda en kerngegevens 2014, nr 26716-28652, 20150618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45"/>
      <w:r w:rsidRPr="00A448AC">
        <w:rPr>
          <w:rFonts w:ascii="Arial" w:hAnsi="Arial" w:cs="Arial"/>
          <w:b/>
          <w:bCs/>
          <w:color w:val="303F4C"/>
          <w:lang w:val="en-US"/>
        </w:rPr>
        <w:t>Raad 28 sep 2015 - Ingekomen stuk, GGD IJsselland, Bestuursagenda en kerngegevens 2014, nr 26716-28652, 20150618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sep 2015 - Ingekomen stuk, GGD IJsselland, Bestuursagenda en kerngegevens 2014, nr 26716-28652, 20150618.pdf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8-sep-2015-Ingekomen-stuk-GGD-IJsselland-Bestuursagenda-en-kerngegevens-2014-nr-26716-28652-201506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