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04" w:history="1">
        <w:r>
          <w:rPr>
            <w:rFonts w:ascii="Arial" w:hAnsi="Arial" w:eastAsia="Arial" w:cs="Arial"/>
            <w:color w:val="155CAA"/>
            <w:u w:val="single"/>
          </w:rPr>
          <w:t xml:space="preserve">1 Raad 28 nov 2016 - Ingekomen stuk, Fairtrade Gemeenten, Faitrade, nr 7375-15113, 20161117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04"/>
      <w:r w:rsidRPr="00A448AC">
        <w:rPr>
          <w:rFonts w:ascii="Arial" w:hAnsi="Arial" w:cs="Arial"/>
          <w:b/>
          <w:bCs/>
          <w:color w:val="303F4C"/>
          <w:lang w:val="en-US"/>
        </w:rPr>
        <w:t>Raad 28 nov 2016 - Ingekomen stuk, Fairtrade Gemeenten, Faitrade, nr 7375-15113, 20161117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01-12-2016 16:30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28 nov 2016 - Ingekomen stuk, Fairtrade Gemeenten, Faitrade, nr 7375-15113, 20161117.pdf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Raad-28-nov-2016-Ingekomen-stuk-Fairtrade-Gemeenten-Faitrade-nr-7375-15113-201611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