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6" w:history="1">
        <w:r>
          <w:rPr>
            <w:rFonts w:ascii="Arial" w:hAnsi="Arial" w:eastAsia="Arial" w:cs="Arial"/>
            <w:color w:val="155CAA"/>
            <w:u w:val="single"/>
          </w:rPr>
          <w:t xml:space="preserve">1 Raad 27 nov 2017 - Ingekomen stuk, RaadslidNu, Eindrapport onderzoek werkgeversfunctie, nr 572423-223212, 20171121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6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RaadslidNu, Eindrapport onderzoek werkgeversfunctie, nr 572423-223212, 20171121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RaadslidNu, Eindrapport onderzoek werkgeversfunctie, nr 572423-223212,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7-nov-2017-Ingekomen-stuk-RaadslidNu-Eindrapport-onderzoek-werkgeversfunctie-nr-572423-223212-2017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