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2" w:history="1">
        <w:r>
          <w:rPr>
            <w:rFonts w:ascii="Arial" w:hAnsi="Arial" w:eastAsia="Arial" w:cs="Arial"/>
            <w:color w:val="155CAA"/>
            <w:u w:val="single"/>
          </w:rPr>
          <w:t xml:space="preserve">1 Raad 27 feb 2017 - Ingekomen stuk, Natuurmonumenten, Aanvalsplan voor het Nederlandse Landschap, nr 493049-124383, 20170209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2"/>
      <w:r w:rsidRPr="00A448AC">
        <w:rPr>
          <w:rFonts w:ascii="Arial" w:hAnsi="Arial" w:cs="Arial"/>
          <w:b/>
          <w:bCs/>
          <w:color w:val="303F4C"/>
          <w:lang w:val="en-US"/>
        </w:rPr>
        <w:t>Raad 27 feb 2017 - Ingekomen stuk, Natuurmonumenten, Aanvalsplan voor het Nederlandse Landschap, nr 493049-124383, 20170209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feb 2017 - Ingekomen stuk, Natuurmonumenten, Aanvalsplan voor het Nederlandse Landschap, nr 493049-124383, 20170209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feb-2017-Ingekomen-stuk-Natuurmonumenten-Aanvalsplan-voor-het-Nederlandse-Landschap-nr-493049-124383-20170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