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84" text:style-name="Internet_20_link" text:visited-style-name="Visited_20_Internet_20_Link">
              <text:span text:style-name="ListLabel_20_28">
                <text:span text:style-name="T8">1 Raad 26 okt 2015 - Ingekomen stuk, NBA Knelpunten Decentralisaties vragen actie van gemeente en GR, nr 28901-28280, 20151005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84"/>
        Raad 26 okt 2015 - Ingekomen stuk, NBA Knelpunten Decentralisaties vragen actie van gemeente en GR, nr 28901-28280, 20151005
        <text:bookmark-end text:name="413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27-10-2015 11:33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okt 2015 - Ingekomen stuk, NBA Knelpunten Decentralisaties vragen actie van gemeente en GR, nr 28901-28280, 20151005.pdf
              <text:span text:style-name="T3"/>
            </text:p>
            <text:p text:style-name="P7"/>
          </table:table-cell>
          <table:table-cell table:style-name="Table4.A2" office:value-type="string">
            <text:p text:style-name="P8">06-10-2015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762,04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6-okt-2015-Ingekomen-stuk-NBA-Knelpunten-Decentralisaties-vragen-actie-van-gemeente-en-GR-nr-28901-28280-201510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8" meta:character-count="641" meta:non-whitespace-character-count="5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