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81" w:history="1">
        <w:r>
          <w:rPr>
            <w:rFonts w:ascii="Arial" w:hAnsi="Arial" w:eastAsia="Arial" w:cs="Arial"/>
            <w:color w:val="155CAA"/>
            <w:u w:val="single"/>
          </w:rPr>
          <w:t xml:space="preserve">1 Raad 26 okt 2015 - Ingekomen stuk, Ministerie van Veiligheid en Justitie, Crisisnoodopvang, nr 29077-32592, 20151001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81"/>
      <w:r w:rsidRPr="00A448AC">
        <w:rPr>
          <w:rFonts w:ascii="Arial" w:hAnsi="Arial" w:cs="Arial"/>
          <w:b/>
          <w:bCs/>
          <w:color w:val="303F4C"/>
          <w:lang w:val="en-US"/>
        </w:rPr>
        <w:t>Raad 26 okt 2015 - Ingekomen stuk, Ministerie van Veiligheid en Justitie, Crisisnoodopvang, nr 29077-32592, 20151001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27-10-2015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26 okt 2015 - Ingekomen stuk, Ministerie van Veiligheid en Justitie, Crisisnoodopvang, nr 29077-32592, 20151001.pdf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6-okt-2015-Ingekomen-stuk-Ministerie-van-Veiligheid-en-Justitie-Crisisnoodopvang-nr-29077-32592-201510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