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22" text:style-name="Internet_20_link" text:visited-style-name="Visited_20_Internet_20_Link">
              <text:span text:style-name="ListLabel_20_28">
                <text:span text:style-name="T8">1 Raad 26 mei 2015 - Ingekomen stuk, LOC, Notitie medezeggenschap kinderen, jongeren, nieuwe jeugdwet, nr 25335-27047, 20150511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22"/>
        Raad 26 mei 2015 - Ingekomen stuk, LOC, Notitie medezeggenschap kinderen, jongeren, nieuwe jeugdwet, nr 25335-27047, 20150511
        <text:bookmark-end text:name="413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28-05-2015 15:14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mei 2015 - Ingekomen stuk, LOC, Notitie medezeggenschap kinderen, jongeren, nieuwe jeugdwet, nr 25335-27047, 20150511.pdf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446,55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mei-2015-Ingekomen-stuk-LOC-Notitie-medezeggenschap-kinderen-jongeren-nieuwe-jeugdwet-nr-25335-27047-201505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2" meta:character-count="644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