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1" w:history="1">
        <w:r>
          <w:rPr>
            <w:rFonts w:ascii="Arial" w:hAnsi="Arial" w:eastAsia="Arial" w:cs="Arial"/>
            <w:color w:val="155CAA"/>
            <w:u w:val="single"/>
          </w:rPr>
          <w:t xml:space="preserve">1 Raad 26 jun 2017 - Ingekomen stuk, Trefkoele+, Financieel en sociaal jaarverslag 2016, nr 499364-132902, 20170524 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1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Trefkoele+, Financieel en sociaal jaarverslag 2016, nr 499364-132902, 20170524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Trefkoele+, Financieel en sociaal jaarverslag 2016, nr 499364-132902, 20170524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jun-2017-Ingekomen-stuk-Trefkoele-Financieel-en-sociaal-jaarverslag-2016-nr-499364-132902-201705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