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1" w:history="1">
        <w:r>
          <w:rPr>
            <w:rFonts w:ascii="Arial" w:hAnsi="Arial" w:eastAsia="Arial" w:cs="Arial"/>
            <w:color w:val="155CAA"/>
            <w:u w:val="single"/>
          </w:rPr>
          <w:t xml:space="preserve">1 Raad 26 jun 2017 - Ingekomen stuk, Min VWS, Kwartaalbrief actuele ontwikkelingen Sociaal Domein, nr 550395-198836, 20170615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1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Min VWS, Kwartaalbrief actuele ontwikkelingen Sociaal Domein, nr 550395-198836, 20170615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Min VWS, Kwartaalbrief actuele ontwikkelingen Sociaal Domein, nr 550395-198836, 20170615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jun-2017-Ingekomen-stuk-Min-VWS-Kwartaalbrief-actuele-ontwikkelingen-Sociaal-Domein-nr-550395-198836-201706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