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274" w:history="1">
        <w:r>
          <w:rPr>
            <w:rFonts w:ascii="Arial" w:hAnsi="Arial" w:eastAsia="Arial" w:cs="Arial"/>
            <w:color w:val="155CAA"/>
            <w:u w:val="single"/>
          </w:rPr>
          <w:t xml:space="preserve">1 Raad 26 jan 2015 - Ingekomen stuk, Vrienden van Dalfsen, Plan in hoofdlijnen voor Rechterensedijk, nr 21358-22717, 20141218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274"/>
      <w:r w:rsidRPr="00A448AC">
        <w:rPr>
          <w:rFonts w:ascii="Arial" w:hAnsi="Arial" w:cs="Arial"/>
          <w:b/>
          <w:bCs/>
          <w:color w:val="303F4C"/>
          <w:lang w:val="en-US"/>
        </w:rPr>
        <w:t>Raad 26 jan 2015 - Ingekomen stuk, Vrienden van Dalfsen, Plan in hoofdlijnen voor Rechterensedijk, nr 21358-22717, 20141218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29-01-2015 13:12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26 jan 2015 - Ingekomen stuk, Vrienden van Dalfsen, Plan in hoofdlijnen voor Rechterensedijk, nr 21358-22717, 20141218.pdf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83,23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voor-kennisgeving-aannemen/Raad-26-jan-2015---Ingekomen-stuk--Vrienden-van-Dalfsen--Plan-in-hoofdlijnen-voor-Rechterensedijk--nr-21358-22717--2014121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