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81" w:history="1">
        <w:r>
          <w:rPr>
            <w:rFonts w:ascii="Arial" w:hAnsi="Arial" w:eastAsia="Arial" w:cs="Arial"/>
            <w:color w:val="155CAA"/>
            <w:u w:val="single"/>
          </w:rPr>
          <w:t xml:space="preserve">1 Raad 26 jan 2015 - Ingekomen stuk, Ministerie van Binnenl zkn en koninkrijksrelaties, circulaire Samenloop vergoedingen raadsleden met een uitkering, nr 22195-24423, 20150108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81"/>
      <w:r w:rsidRPr="00A448AC">
        <w:rPr>
          <w:rFonts w:ascii="Arial" w:hAnsi="Arial" w:cs="Arial"/>
          <w:b/>
          <w:bCs/>
          <w:color w:val="303F4C"/>
          <w:lang w:val="en-US"/>
        </w:rPr>
        <w:t>Raad 26 jan 2015 - Ingekomen stuk, Ministerie van Binnenl zkn en koninkrijksrelaties, circulaire Samenloop vergoedingen raadsleden met een uitkering, nr 22195-24423, 20150108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jan 2015 - Ingekomen stuk, Ministerie van Binnenl zkn en koninkrijksrelaties, circulaire Samenloop vergoedingen raadsleden met een uitkering, nr 22195-24423, 20150108.pdf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an-2015---Ingekomen-stuk--Ministerie-van-Binnenl-zkn-en-koninkrijksrelaties--circulaire-Samenloop-vergoedingen-raadsleden-met-een-uitkering--nr-22195-24423--2015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