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86" text:style-name="Internet_20_link" text:visited-style-name="Visited_20_Internet_20_Link">
              <text:span text:style-name="ListLabel_20_28">
                <text:span text:style-name="T8">1 Raad 25 sep 2017 - Ingekomen stuk, PB Oudleusen, Herinrichting N340, nr 566799-207250, 20170718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86"/>
        Raad 25 sep 2017 - Ingekomen stuk, PB Oudleusen, Herinrichting N340, nr 566799-207250, 20170718
        <text:bookmark-end text:name="415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PB Oudleusen, Herinrichting N340, nr 566799-207250, 20170718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sep-2017-Ingekomen-stuk-PB-Oudleusen-Herinrichting-N340-nr-566799-207250-2017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50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