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26" w:history="1">
        <w:r>
          <w:rPr>
            <w:rFonts w:ascii="Arial" w:hAnsi="Arial" w:eastAsia="Arial" w:cs="Arial"/>
            <w:color w:val="155CAA"/>
            <w:u w:val="single"/>
          </w:rPr>
          <w:t xml:space="preserve">1 Raad 25 nov 2013 - Ingekomen stukken, NVRR, Rekenkamers bezorgd over controlegat bij de decentralisaties, nr 11668-10865, 20131111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26"/>
      <w:r w:rsidRPr="00A448AC">
        <w:rPr>
          <w:rFonts w:ascii="Arial" w:hAnsi="Arial" w:cs="Arial"/>
          <w:b/>
          <w:bCs/>
          <w:color w:val="303F4C"/>
          <w:lang w:val="en-US"/>
        </w:rPr>
        <w:t>Raad 25 nov 2013 - Ingekomen stukken, NVRR, Rekenkamers bezorgd over controlegat bij de decentralisaties, nr 11668-10865, 20131111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26-11-2013 11:26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nov 2013 - Ingekomen stukken, NVRR, Rekenkamers bezorgd over controlegat bij de decentralisaties, nr 11668-10865, 20131111.pdf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5-nov-2013---Ingekomen-stukken--NVRR--Rekenkamers-bezorgd-over-controlegat-bij-de-decentralisaties--nr-11668-10865--201311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