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6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Ministerie SZW, Onderzoek Veilig gebruik Suwinet 2015, verslag Dalfsen, nr 27503-29281, 20151207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6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Ministerie SZW, Onderzoek Veilig gebruik Suwinet 2015, verslag Dalfsen, nr 27503-29281, 20151207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Ministerie SZW, Onderzoek Veilig gebruik Suwinet 2015, verslag Dalfsen, nr 27503-29281, 20151207.pdf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jan-2016-Ingekomen-stuk-Ministerie-SZW-Onderzoek-Veilig-gebruik-Suwinet-2015-verslag-Dalfsen-nr-27503-29281-201512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