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51" w:history="1">
        <w:r>
          <w:rPr>
            <w:rFonts w:ascii="Arial" w:hAnsi="Arial" w:eastAsia="Arial" w:cs="Arial"/>
            <w:color w:val="155CAA"/>
            <w:u w:val="single"/>
          </w:rPr>
          <w:t xml:space="preserve">1 Raad 24 nov 2014 - Ingekomen stuk, V. Oosterveen, duidelijkheid rondom nulbeleid, nr 20347-23148, 20141016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51"/>
      <w:r w:rsidRPr="00A448AC">
        <w:rPr>
          <w:rFonts w:ascii="Arial" w:hAnsi="Arial" w:cs="Arial"/>
          <w:b/>
          <w:bCs/>
          <w:color w:val="303F4C"/>
          <w:lang w:val="en-US"/>
        </w:rPr>
        <w:t>Raad 24 nov 2014 - Ingekomen stuk, V. Oosterveen, duidelijkheid rondom nulbeleid, nr 20347-23148, 20141016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nov 2014 - Ingekomen stuk, V. Oosterveen, duidelijkheid rondom nulbeleid, nr 20347-23148, 20141016.pdf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4-nov-2014-Ingekomen-stuk-V-Oosterveen-duidelijkheid-rondom-nulbeleid-nr-20347-23148-20141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