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086" w:history="1">
        <w:r>
          <w:rPr>
            <w:rFonts w:ascii="Arial" w:hAnsi="Arial" w:eastAsia="Arial" w:cs="Arial"/>
            <w:color w:val="155CAA"/>
            <w:u w:val="single"/>
          </w:rPr>
          <w:t xml:space="preserve">1 Raad 24 juni 2013 - Ingekomen stuk, Clok, Structureel management van werklocaties is een lonende investering, nr 8085-6867, 20130611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086"/>
      <w:r w:rsidRPr="00A448AC">
        <w:rPr>
          <w:rFonts w:ascii="Arial" w:hAnsi="Arial" w:cs="Arial"/>
          <w:b/>
          <w:bCs/>
          <w:color w:val="303F4C"/>
          <w:lang w:val="en-US"/>
        </w:rPr>
        <w:t>Raad 24 juni 2013 - Ingekomen stuk, Clok, Structureel management van werklocaties is een lonende investering, nr 8085-6867, 20130611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27-06-2013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juni 2013 - Ingekomen stuk, Clok, Structureel management van werklocaties is een lonende investering, nr 8085-6867, 20130611.pdf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4-juni-2013---Ingekomen-stuk--Clok--Structureel-management-van-werklocaties-is-een-lonende-investering--nr-8085-6867--201306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