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3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Ministerie van Binnenlandse Zkn en Koninkrijksrelaties, nr 8944-14183, 20130815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3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Ministerie van Binnenlandse Zkn en Koninkrijksrelaties, nr 8944-14183, 20130815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Ministerie van Binnenlandse Zkn en Koninkrijksrelaties, nr 8944-14183, 20130815.pdf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t-2013---Ingekomen-stuk--Ministerie-van-Binnenlandse-Zkn-en-Koninkrijksrelaties--nr-8944-14183--201308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