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8" w:history="1">
        <w:r>
          <w:rPr>
            <w:rFonts w:ascii="Arial" w:hAnsi="Arial" w:eastAsia="Arial" w:cs="Arial"/>
            <w:color w:val="155CAA"/>
            <w:u w:val="single"/>
          </w:rPr>
          <w:t xml:space="preserve">1 Raad 23 sep 2013 - Ingekomen stuk, VNG, werkgeverschap veiligheidsregio's, nr 8259-7029, 20130617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8"/>
      <w:r w:rsidRPr="00A448AC">
        <w:rPr>
          <w:rFonts w:ascii="Arial" w:hAnsi="Arial" w:cs="Arial"/>
          <w:b/>
          <w:bCs/>
          <w:color w:val="303F4C"/>
          <w:lang w:val="en-US"/>
        </w:rPr>
        <w:t>Raad 23 sep 2013 - Ingekomen stuk, VNG, werkgeverschap veiligheidsregio's, nr 8259-7029, 20130617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 2013 - Ingekomen stuk, VNG, werkgeverschap veiligheidsregio's, nr 8259-7029, 20130617.pdf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3-sep-2013---Ingekomen-stuk--VNG--werkgeverschap-veiligheidsregios--nr-8259-7029--201306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