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96" text:style-name="Internet_20_link" text:visited-style-name="Visited_20_Internet_20_Link">
              <text:span text:style-name="ListLabel_20_28">
                <text:span text:style-name="T8">1 Raad 23 nov 2015 - Ingekomen stuk, PB Oudleusen eo, Herinrichting N340, nr 30172-28989, 20151112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96"/>
        Raad 23 nov 2015 - Ingekomen stuk, PB Oudleusen eo, Herinrichting N340, nr 30172-28989, 20151112
        <text:bookmark-end text:name="413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24-11-2015 10:48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nov 2015 - Ingekomen stuk, PB Oudleusen eo, Herinrichting N340, nr 30172-28989, 20151112.pdf
              <text:span text:style-name="T3"/>
            </text:p>
            <text:p text:style-name="P7"/>
          </table:table-cell>
          <table:table-cell table:style-name="Table4.A2" office:value-type="string">
            <text:p text:style-name="P8">12-11-2015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222,17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3-nov-2015-Ingekomen-stuk-PB-Oudleusen-eo-Herinrichting-N340-nr-30172-28989-201511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557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