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4" w:history="1">
        <w:r>
          <w:rPr>
            <w:rFonts w:ascii="Arial" w:hAnsi="Arial" w:eastAsia="Arial" w:cs="Arial"/>
            <w:color w:val="155CAA"/>
            <w:u w:val="single"/>
          </w:rPr>
          <w:t xml:space="preserve">1 Raad 23 nov 2015 - Ingekomen stuk, E.V., Ziek door de straling van draadloze communicatie, nr 29692-33450, 20151029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4"/>
      <w:r w:rsidRPr="00A448AC">
        <w:rPr>
          <w:rFonts w:ascii="Arial" w:hAnsi="Arial" w:cs="Arial"/>
          <w:b/>
          <w:bCs/>
          <w:color w:val="303F4C"/>
          <w:lang w:val="en-US"/>
        </w:rPr>
        <w:t>Raad 23 nov 2015 - Ingekomen stuk, E.V., Ziek door de straling van draadloze communicatie, nr 29692-33450, 20151029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nov 2015 - Ingekomen stuk, E.V., Ziek door de straling van draadloze communicatie, nr 29692-33450, 20151029.pdf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nov-2015-Ingekomen-stuk-E-V-Ziek-door-de-straling-van-draadloze-communicatie-nr-29692-33450-20151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