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2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Informatie Jeugd GGZ Dimence, nr 16970-16174, 20140526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2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Informatie Jeugd GGZ Dimence, nr 16970-16174,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Informatie Jeugd GGZ Dimence, nr 16970-16174,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juni-2014---Ingekomen-stuk--Informatie-Jeugd-GGZ-Dimence--nr-16970-16174--201405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