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23" w:history="1">
        <w:r>
          <w:rPr>
            <w:rFonts w:ascii="Arial" w:hAnsi="Arial" w:eastAsia="Arial" w:cs="Arial"/>
            <w:color w:val="155CAA"/>
            <w:u w:val="single"/>
          </w:rPr>
          <w:t xml:space="preserve">1 Raad 22 sept 2014 - Ingekomen stuk, RvS, Dalfsen BP Kern Dalfsen 2012, nr 9507-20677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23"/>
      <w:r w:rsidRPr="00A448AC">
        <w:rPr>
          <w:rFonts w:ascii="Arial" w:hAnsi="Arial" w:cs="Arial"/>
          <w:b/>
          <w:bCs/>
          <w:color w:val="303F4C"/>
          <w:lang w:val="en-US"/>
        </w:rPr>
        <w:t>Raad 22 sept 2014 - Ingekomen stuk, RvS, Dalfsen BP Kern Dalfsen 2012, nr 9507-20677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06-11-2014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sept 2014 - Ingekomen stuk, RvS, Dalfsen BP Kern Dalfsen 2012, nr 9507-20677.pdf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2-sept-2014---Ingekomen-stuk--RvS--Dalfsen-BP-Kern-Dalfsen-2012--nr-9507-2067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