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4" w:history="1">
        <w:r>
          <w:rPr>
            <w:rFonts w:ascii="Arial" w:hAnsi="Arial" w:eastAsia="Arial" w:cs="Arial"/>
            <w:color w:val="155CAA"/>
            <w:u w:val="single"/>
          </w:rPr>
          <w:t xml:space="preserve">1 Raad 22 sept 2014 - Ingekomen stuk, Raad voor het openbaar bestuur, aanbieding advies Hoe hoort het eigenlijk, passend contact tussen overheid en burger, 17658-20609, 20140623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4"/>
      <w:r w:rsidRPr="00A448AC">
        <w:rPr>
          <w:rFonts w:ascii="Arial" w:hAnsi="Arial" w:cs="Arial"/>
          <w:b/>
          <w:bCs/>
          <w:color w:val="303F4C"/>
          <w:lang w:val="en-US"/>
        </w:rPr>
        <w:t>Raad 22 sept 2014 - Ingekomen stuk, Raad voor het openbaar bestuur, aanbieding advies Hoe hoort het eigenlijk, passend contact tussen overheid en burger, 17658-20609, 20140623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sept 2014 - Ingekomen stuk, Raad voor het openbaar bestuur, aanbieding advies Hoe hoort het eigenlijk, passend contact tussen overheid en burger, 17658-20609, 20140623.pdf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sept-2014---Ingekomen-stuk--Raad-voor-het-openbaar-bestuur--aanbieding-advies-Hoe-hoort-het-eigenlijk--passend-contact-tussen-overheid-en-burger--17658-20609--201406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