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41" w:history="1">
        <w:r>
          <w:rPr>
            <w:rFonts w:ascii="Arial" w:hAnsi="Arial" w:eastAsia="Arial" w:cs="Arial"/>
            <w:color w:val="155CAA"/>
            <w:u w:val="single"/>
          </w:rPr>
          <w:t xml:space="preserve">1 Raad 22 jun 2015 - Ingekomen stuk, Wecycle, Benchmark 2014 afgite electrische apparaten, nr 26227-26962, 20150602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41"/>
      <w:r w:rsidRPr="00A448AC">
        <w:rPr>
          <w:rFonts w:ascii="Arial" w:hAnsi="Arial" w:cs="Arial"/>
          <w:b/>
          <w:bCs/>
          <w:color w:val="303F4C"/>
          <w:lang w:val="en-US"/>
        </w:rPr>
        <w:t>Raad 22 jun 2015 - Ingekomen stuk, Wecycle, Benchmark 2014 afgite electrische apparaten, nr 26227-26962, 20150602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25-06-2015 14:24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jun 2015 - Ingekomen stuk, Wecycle, Benchmark 2014 afgite electrische apparaten, nr 26227-26962, 20150602.pdf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2-jun-2015-Ingekomen-stuk-Wecycle-Benchmark-2014-afgite-electrische-apparaten-nr-26227-26962-201506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