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39" w:history="1">
        <w:r>
          <w:rPr>
            <w:rFonts w:ascii="Arial" w:hAnsi="Arial" w:eastAsia="Arial" w:cs="Arial"/>
            <w:color w:val="155CAA"/>
            <w:u w:val="single"/>
          </w:rPr>
          <w:t xml:space="preserve">1 Raad 20 okt 2014 - Ingekomen stuk, Veiligheidsregio IJsselland, terugkoppeling zienswijzen op begroting, nr 15830-22808, 20140929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39"/>
      <w:r w:rsidRPr="00A448AC">
        <w:rPr>
          <w:rFonts w:ascii="Arial" w:hAnsi="Arial" w:cs="Arial"/>
          <w:b/>
          <w:bCs/>
          <w:color w:val="303F4C"/>
          <w:lang w:val="en-US"/>
        </w:rPr>
        <w:t>Raad 20 okt 2014 - Ingekomen stuk, Veiligheidsregio IJsselland, terugkoppeling zienswijzen op begroting, nr 15830-22808, 20140929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 09:38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 okt 2014 - Ingekomen stuk, Veiligheidsregio IJsselland, terugkoppeling zienswijzen op begroting, nr 15830-22808, 20140929.pdf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0-okt-2014---Ingekomen-stuk--Veiligheidsregio-IJsselland--terugkoppeling-zienswijzen-op-begroting--nr-15830-22808--201409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