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40" text:style-name="Internet_20_link" text:visited-style-name="Visited_20_Internet_20_Link">
              <text:span text:style-name="ListLabel_20_28">
                <text:span text:style-name="T8">1 Raad 20 okt 2014 - Ingekomen stuk, L.H.W.M. Koenen, brandbrief checklist transitierijpheid vrijekader zienswijze verordening beleidsplan Jeugdzorg, nr 20096-20194, 20141002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40"/>
        Raad 20 okt 2014 - Ingekomen stuk, L.H.W.M. Koenen, brandbrief checklist transitierijpheid vrijekader zienswijze verordening beleidsplan Jeugdzorg, nr 20096-20194, 20141002
        <text:bookmark-end text:name="412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28-10-2014 09:39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20 okt 2014 - Ingekomen stuk, L.H.W.M. Koenen, brandbrief checklist transitierijpheid vrijekader zienswijze verordening beleidsplan Jeugdzorg, nr 20096-20194, 20141002.pdf
              <text:span text:style-name="T3"/>
            </text:p>
            <text:p text:style-name="P7"/>
          </table:table-cell>
          <table:table-cell table:style-name="Table4.A2" office:value-type="string">
            <text:p text:style-name="P8">02-10-2014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0-okt-2014-Ingekomen-stuk-L-H-W-M-Koenen-brandbrief-checklist-transitierijpheid-vrijekader-zienswijze-verordening-beleidsplan-Jeugdzorg-nr-20096-20194-20141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1" meta:character-count="784" meta:non-whitespace-character-count="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