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09" w:history="1">
        <w:r>
          <w:rPr>
            <w:rFonts w:ascii="Arial" w:hAnsi="Arial" w:eastAsia="Arial" w:cs="Arial"/>
            <w:color w:val="155CAA"/>
            <w:u w:val="single"/>
          </w:rPr>
          <w:t xml:space="preserve">1 Raad 20 apr 2015 - Ingekomen stuk, Inspectie SZW, Onderzoek veilig gebruik Suwinet 2014, definitief verslag Dalfsen, nr 3511-25587, 20150316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09"/>
      <w:r w:rsidRPr="00A448AC">
        <w:rPr>
          <w:rFonts w:ascii="Arial" w:hAnsi="Arial" w:cs="Arial"/>
          <w:b/>
          <w:bCs/>
          <w:color w:val="303F4C"/>
          <w:lang w:val="en-US"/>
        </w:rPr>
        <w:t>Raad 20 apr 2015 - Ingekomen stuk, Inspectie SZW, Onderzoek veilig gebruik Suwinet 2014, definitief verslag Dalfsen, nr 3511-25587, 20150316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apr 2015 - Ingekomen stuk, Inspectie SZW, Onderzoek veilig gebruik Suwinet 2014, definitief verslag Dalfsen, nr 3511-25587, 20150316.pdf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0-apr-2015-Ingekomen-stuk-Inspectie-SZW-Onderzoek-veilig-gebruik-Suwinet-2014-definitief-verslag-Dalfsen-nr-3511-25587-201503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