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9" w:history="1">
        <w:r>
          <w:rPr>
            <w:rFonts w:ascii="Arial" w:hAnsi="Arial" w:eastAsia="Arial" w:cs="Arial"/>
            <w:color w:val="155CAA"/>
            <w:u w:val="single"/>
          </w:rPr>
          <w:t xml:space="preserve">1 Raad 19 dec 2016 - Ingekomen stuk, Presidium, afhandeling klacht, nr 2207-30504, 20161206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9"/>
      <w:r w:rsidRPr="00A448AC">
        <w:rPr>
          <w:rFonts w:ascii="Arial" w:hAnsi="Arial" w:cs="Arial"/>
          <w:b/>
          <w:bCs/>
          <w:color w:val="303F4C"/>
          <w:lang w:val="en-US"/>
        </w:rPr>
        <w:t>Raad 19 dec 2016 - Ingekomen stuk, Presidium, afhandeling klacht, nr 2207-30504, 20161206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 dec 2016 - Ingekomen stuk, Presidium, afhandeling klacht, nr 2207-30504, 20161206.pdf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9-dec-2016-Ingekomen-stuk-Presidium-afhandeling-klacht-nr-2207-30504-201612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