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45" w:history="1">
        <w:r>
          <w:rPr>
            <w:rFonts w:ascii="Arial" w:hAnsi="Arial" w:eastAsia="Arial" w:cs="Arial"/>
            <w:color w:val="155CAA"/>
            <w:u w:val="single"/>
          </w:rPr>
          <w:t xml:space="preserve">1 Raad 18 apr 2017 - Ingekomen stuk, RDA, Hondenbeten aan de kaak gesteld, nr 494633-128711, 20170403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45"/>
      <w:r w:rsidRPr="00A448AC">
        <w:rPr>
          <w:rFonts w:ascii="Arial" w:hAnsi="Arial" w:cs="Arial"/>
          <w:b/>
          <w:bCs/>
          <w:color w:val="303F4C"/>
          <w:lang w:val="en-US"/>
        </w:rPr>
        <w:t>Raad 18 apr 2017 - Ingekomen stuk, RDA, Hondenbeten aan de kaak gesteld, nr 494633-128711, 20170403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 16:57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apr 2017 - Ingekomen stuk, RDA, Hondenbeten aan de kaak gesteld, nr 494633-128711, 20170403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8-apr-2017-Ingekomen-stuk-RDA-Hondenbeten-aan-de-kaak-gesteld-nr-494633-128711-201704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