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27" w:history="1">
        <w:r>
          <w:rPr>
            <w:rFonts w:ascii="Arial" w:hAnsi="Arial" w:eastAsia="Arial" w:cs="Arial"/>
            <w:color w:val="155CAA"/>
            <w:u w:val="single"/>
          </w:rPr>
          <w:t xml:space="preserve">1 Raad 16 dec 2013 - Ingekomen stuk, STJ, STJ-themabericht Jonger dan 12 of 12-minner, nr 11763-16174, 20131114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27"/>
      <w:r w:rsidRPr="00A448AC">
        <w:rPr>
          <w:rFonts w:ascii="Arial" w:hAnsi="Arial" w:cs="Arial"/>
          <w:b/>
          <w:bCs/>
          <w:color w:val="303F4C"/>
          <w:lang w:val="en-US"/>
        </w:rPr>
        <w:t>Raad 16 dec 2013 - Ingekomen stuk, STJ, STJ-themabericht Jonger dan 12 of 12-minner, nr 11763-16174, 20131114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 15:48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16 dec 2013 - Ingekomen stuk, STJ, STJ-themabericht Jonger dan 12 of 12-minner, nr 11763-16174, 20131114.pdf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6-dec-2013---Ingekomen-stuk--STJ--STJ-themabericht-Jonger-dan-12-of-12-minner--nr-11763-16174--201311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