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05:44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1131" w:history="1">
        <w:r>
          <w:rPr>
            <w:rFonts w:ascii="Arial" w:hAnsi="Arial" w:eastAsia="Arial" w:cs="Arial"/>
            <w:color w:val="155CAA"/>
            <w:u w:val="single"/>
          </w:rPr>
          <w:t xml:space="preserve">1 Raad 16 dec 2013 - Ingekomen stuk, NOV, Vrijwilligerswerk rondom commotie wetsvoorstellen Wwb, nr 12129-11268, 20131125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1131"/>
      <w:r w:rsidRPr="00A448AC">
        <w:rPr>
          <w:rFonts w:ascii="Arial" w:hAnsi="Arial" w:cs="Arial"/>
          <w:b/>
          <w:bCs/>
          <w:color w:val="303F4C"/>
          <w:lang w:val="en-US"/>
        </w:rPr>
        <w:t>Raad 16 dec 2013 - Ingekomen stuk, NOV, Vrijwilligerswerk rondom commotie wetsvoorstellen Wwb, nr 12129-11268, 20131125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09-01-2014 15:46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16 dec 2013 - Ingekomen stuk, NOV, Vrijwilligerswerk rondom commotie wetsvoorstellen Wwb, nr 12129-11268, 20131125.pdf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Raad-16-dec-2013---Ingekomen-stuk--NOV--Vrijwilligerswerk-rondom-commotie-wetsvoorstellen-Wwb--nr-12129-11268--201311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