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64" text:style-name="Internet_20_link" text:visited-style-name="Visited_20_Internet_20_Link">
              <text:span text:style-name="ListLabel_20_28">
                <text:span text:style-name="T8">1 Raad 15 dec 2015 - Ingekomen stuk, St. Cyriacusschool, Behoud combinatiefuncties sport en cultuur, nr 21351-21948, 20141124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64"/>
        Raad 15 dec 2015 - Ingekomen stuk, St. Cyriacusschool, Behoud combinatiefuncties sport en cultuur, nr 21351-21948, 20141124
        <text:bookmark-end text:name="412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16-12-2014 11:31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15 dec 2015 - Ingekomen stuk, St. Cyriacusschool, Behoud combinatiefuncties sport en cultuur, nr 21351-21948, 20141124.pdf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641,04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5-dec-2015-Ingekomen-stuk-St-Cyriacusschool-Behoud-combinatiefuncties-sport-en-cultuur-nr-21351-21948-20141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2" meta:character-count="638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