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07" w:history="1">
        <w:r>
          <w:rPr>
            <w:rFonts w:ascii="Arial" w:hAnsi="Arial" w:eastAsia="Arial" w:cs="Arial"/>
            <w:color w:val="155CAA"/>
            <w:u w:val="single"/>
          </w:rPr>
          <w:t xml:space="preserve">1 Raad 14 okt 2013 - Ingekomen stuk, VNG, Reactie op de Rijksbegroting 2014, nr 10554-9731, 20130926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07"/>
      <w:r w:rsidRPr="00A448AC">
        <w:rPr>
          <w:rFonts w:ascii="Arial" w:hAnsi="Arial" w:cs="Arial"/>
          <w:b/>
          <w:bCs/>
          <w:color w:val="303F4C"/>
          <w:lang w:val="en-US"/>
        </w:rPr>
        <w:t>Raad 14 okt 2013 - Ingekomen stuk, VNG, Reactie op de Rijksbegroting 2014, nr 10554-9731, 20130926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15-10-2013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okt 2013 - Ingekomen stuk, VNG, Reactie op de Rijksbegroting 2014, nr 10554-9731, 20130926.pdf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4-okt-2013---Ingekomen-stuk--VNG--Reactie-op-de-Rijksbegroting-2014--nr-10554-9731--201309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