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04" w:history="1">
        <w:r>
          <w:rPr>
            <w:rFonts w:ascii="Arial" w:hAnsi="Arial" w:eastAsia="Arial" w:cs="Arial"/>
            <w:color w:val="155CAA"/>
            <w:u w:val="single"/>
          </w:rPr>
          <w:t xml:space="preserve">1 Raad 14 dec 2015 - Ingekomen stuk, Ministerie VWS, Kwartaalbrief uitvoering WMO 2015, nr 30707-34889, 20151203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04"/>
      <w:r w:rsidRPr="00A448AC">
        <w:rPr>
          <w:rFonts w:ascii="Arial" w:hAnsi="Arial" w:cs="Arial"/>
          <w:b/>
          <w:bCs/>
          <w:color w:val="303F4C"/>
          <w:lang w:val="en-US"/>
        </w:rPr>
        <w:t>Raad 14 dec 2015 - Ingekomen stuk, Ministerie VWS, Kwartaalbrief uitvoering WMO 2015, nr 30707-34889, 20151203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dec 2015 - Ingekomen stuk, Ministerie VWS, Kwartaalbrief uitvoering WMO 2015, nr 30707-34889, 20151203.pdf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dec-2015-Ingekomen-stuk-Ministerie-VWS-Kwartaalbrief-uitvoering-WMO-2015-nr-30707-34889-2015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