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97" w:history="1">
        <w:r>
          <w:rPr>
            <w:rFonts w:ascii="Arial" w:hAnsi="Arial" w:eastAsia="Arial" w:cs="Arial"/>
            <w:color w:val="155CAA"/>
            <w:u w:val="single"/>
          </w:rPr>
          <w:t xml:space="preserve">1 Raad 14  apr 2014 - Ingekomen stuk, Het Oversticht, Jaarverslag welstandscommissie Dalfsen 2013, nr 15770-14883, 20140407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97"/>
      <w:r w:rsidRPr="00A448AC">
        <w:rPr>
          <w:rFonts w:ascii="Arial" w:hAnsi="Arial" w:cs="Arial"/>
          <w:b/>
          <w:bCs/>
          <w:color w:val="303F4C"/>
          <w:lang w:val="en-US"/>
        </w:rPr>
        <w:t>Raad 14  apr 2014 - Ingekomen stuk, Het Oversticht, Jaarverslag welstandscommissie Dalfsen 2013, nr 15770-14883, 20140407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 09:45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14  apr 2014 - Ingekomen stuk, Het Oversticht, Jaarverslag welstandscommissie Dalfsen 2013, nr 15770-14883, 20140407.pdf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14--apr-2014---Ingekomen-stuk--Het-Oversticht--Jaarverslag-welstandscommissie-Dalfsen-2013--nr-15770-14883--201404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