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13:52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180" text:style-name="Internet_20_link" text:visited-style-name="Visited_20_Internet_20_Link">
              <text:span text:style-name="ListLabel_20_28">
                <text:span text:style-name="T8">1 Raad 14 apr 2014 - Ingekomen stuk, Bovak betekenis kermis en coalitieonderhandelingen, nr 15562-19085, 20140331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80"/>
        Raad 14 apr 2014 - Ingekomen stuk, Bovak betekenis kermis en coalitieonderhandelingen, nr 15562-19085, 20140331
        <text:bookmark-end text:name="4118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29-04-2014 09:30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14 apr 2014 - Ingekomen stuk, Bovak betekenis kermis en coalitieonderhandelingen, nr 15562-19085, 20140331.pdf
              <text:span text:style-name="T3"/>
            </text:p>
            <text:p text:style-name="P7"/>
          </table:table-cell>
          <table:table-cell table:style-name="Table4.A2" office:value-type="string">
            <text:p text:style-name="P8">31-03-2014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216,34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14-apr-2014---Ingekomen-stuk--Bovak-betekenis-kermis-en-coalitieonderhandelingen--nr-15562-19085--201403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6" meta:character-count="602" meta:non-whitespace-character-count="5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1344303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1344303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