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98" w:history="1">
        <w:r>
          <w:rPr>
            <w:rFonts w:ascii="Arial" w:hAnsi="Arial" w:eastAsia="Arial" w:cs="Arial"/>
            <w:color w:val="155CAA"/>
            <w:u w:val="single"/>
          </w:rPr>
          <w:t xml:space="preserve">1 Lbr VNG, Maatregelen lockdown en kamerbrief, zaaknr 627765, 20201217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98"/>
      <w:r w:rsidRPr="00A448AC">
        <w:rPr>
          <w:rFonts w:ascii="Arial" w:hAnsi="Arial" w:cs="Arial"/>
          <w:b/>
          <w:bCs/>
          <w:color w:val="303F4C"/>
          <w:lang w:val="en-US"/>
        </w:rPr>
        <w:t>Lbr VNG, Maatregelen lockdown en kamerbrief, zaaknr 627765, 20201217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Maatregelen lockdown en kamerbrief, zaaknr 627765,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Maatregelen-lockdown-en-kamerbrief-zaaknr-627765-202012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