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1" w:history="1">
        <w:r>
          <w:rPr>
            <w:rFonts w:ascii="Arial" w:hAnsi="Arial" w:eastAsia="Arial" w:cs="Arial"/>
            <w:color w:val="155CAA"/>
            <w:u w:val="single"/>
          </w:rPr>
          <w:t xml:space="preserve">1 Lbr VNG-CvA, 18-046, Stand van zaken invoering Wet normalisering rechtspositie ambtenaren, zaaknr 588210, 20180730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1"/>
      <w:r w:rsidRPr="00A448AC">
        <w:rPr>
          <w:rFonts w:ascii="Arial" w:hAnsi="Arial" w:cs="Arial"/>
          <w:b/>
          <w:bCs/>
          <w:color w:val="303F4C"/>
          <w:lang w:val="en-US"/>
        </w:rPr>
        <w:t>Lbr VNG-CvA, 18-046, Stand van zaken invoering Wet normalisering rechtspositie ambtenaren, zaaknr 588210,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VNG-CvA, 18-046, Stand van zaken invoering Wet normalisering rechtspositie ambtenaren, zaaknr 588210,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CvA-18-046-Stand-van-zaken-invoering-Wet-normalisering-rechtspositie-ambtenaren-zaaknr-588210-201807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