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05" w:history="1">
        <w:r>
          <w:rPr>
            <w:rFonts w:ascii="Arial" w:hAnsi="Arial" w:eastAsia="Arial" w:cs="Arial"/>
            <w:color w:val="155CAA"/>
            <w:u w:val="single"/>
          </w:rPr>
          <w:t xml:space="preserve">1 Lbr VNG, 25-051, LOGA 25-05, RVU-onderzoek zware beroepen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05"/>
      <w:r w:rsidRPr="00A448AC">
        <w:rPr>
          <w:rFonts w:ascii="Arial" w:hAnsi="Arial" w:cs="Arial"/>
          <w:b/>
          <w:bCs/>
          <w:color w:val="303F4C"/>
          <w:lang w:val="en-US"/>
        </w:rPr>
        <w:t>Lbr VNG, 25-051, LOGA 25-05, RVU-onderzoek zware beroepen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 12:43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25-051, LOGA 25-05, RVU-onderzoek zware beroepen, 20251103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Lbr-VNG-25-051-LOGA-25-05-RVU-onderzoek-zware-beroepen-202511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