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00" w:history="1">
        <w:r>
          <w:rPr>
            <w:rFonts w:ascii="Arial" w:hAnsi="Arial" w:eastAsia="Arial" w:cs="Arial"/>
            <w:color w:val="155CAA"/>
            <w:u w:val="single"/>
          </w:rPr>
          <w:t xml:space="preserve">1 Lbr VNG, 25-049, Compensatie medewerkers sociaal ontwikkelbedrijven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00"/>
      <w:r w:rsidRPr="00A448AC">
        <w:rPr>
          <w:rFonts w:ascii="Arial" w:hAnsi="Arial" w:cs="Arial"/>
          <w:b/>
          <w:bCs/>
          <w:color w:val="303F4C"/>
          <w:lang w:val="en-US"/>
        </w:rPr>
        <w:t>Lbr VNG, 25-049, Compensatie medewerkers sociaal ontwikkelbedrijven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25-049, Compensatie medewerkers sociaal ontwikkelbedrijven, 20251028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Lbr-VNG-25-049-Compensatie-medewerkers-sociaal-ontwikkelbedrijven-20251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