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0" w:history="1">
        <w:r>
          <w:rPr>
            <w:rFonts w:ascii="Arial" w:hAnsi="Arial" w:eastAsia="Arial" w:cs="Arial"/>
            <w:color w:val="155CAA"/>
            <w:u w:val="single"/>
          </w:rPr>
          <w:t xml:space="preserve">1 Lbr VNG, 25-048, Modelbeleidsregels schuldhulpverlening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0"/>
      <w:r w:rsidRPr="00A448AC">
        <w:rPr>
          <w:rFonts w:ascii="Arial" w:hAnsi="Arial" w:cs="Arial"/>
          <w:b/>
          <w:bCs/>
          <w:color w:val="303F4C"/>
          <w:lang w:val="en-US"/>
        </w:rPr>
        <w:t>Lbr VNG, 25-048, Modelbeleidsregels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25-048, Modelbeleidsregels schuldhulpverlening,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48-Modelbeleidsregels-schuldhulpverlening-20251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